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Risk Treatment Plan – XYZ Limited</w:t>
      </w:r>
    </w:p>
    <w:tbl>
      <w:tblPr>
        <w:tblW w:w="486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52"/>
        <w:gridCol w:w="1322"/>
        <w:gridCol w:w="1489"/>
      </w:tblGrid>
      <w:tr>
        <w:trPr>
          <w:tblHeader w:val="true"/>
        </w:trPr>
        <w:tc>
          <w:tcPr>
            <w:tcW w:w="205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Date:</w:t>
            </w:r>
            <w:r>
              <w:rPr/>
              <w:t xml:space="preserve"> April 4, 2026</w:t>
            </w:r>
          </w:p>
        </w:tc>
        <w:tc>
          <w:tcPr>
            <w:tcW w:w="132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Version:</w:t>
            </w:r>
            <w:r>
              <w:rPr/>
              <w:t xml:space="preserve"> 1.0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>
                <w:rStyle w:val="Strong"/>
                <w:b/>
                <w:bCs/>
              </w:rPr>
              <w:t>Status:</w:t>
            </w:r>
            <w:r>
              <w:rPr/>
              <w:t xml:space="preserve"> Draft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1. Risk Treatment Approach</w:t>
      </w:r>
    </w:p>
    <w:p>
      <w:pPr>
        <w:pStyle w:val="BodyText"/>
        <w:bidi w:val="0"/>
        <w:jc w:val="start"/>
        <w:rPr/>
      </w:pPr>
      <w:r>
        <w:rPr/>
        <w:t>XYZ Limited will use the following strategies:</w:t>
      </w:r>
    </w:p>
    <w:tbl>
      <w:tblPr>
        <w:tblW w:w="905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09"/>
        <w:gridCol w:w="4582"/>
        <w:gridCol w:w="3467"/>
      </w:tblGrid>
      <w:tr>
        <w:trPr>
          <w:tblHeader w:val="true"/>
        </w:trPr>
        <w:tc>
          <w:tcPr>
            <w:tcW w:w="100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Strategy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Description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When Used</w:t>
            </w:r>
          </w:p>
        </w:tc>
      </w:tr>
      <w:tr>
        <w:trPr/>
        <w:tc>
          <w:tcPr>
            <w:tcW w:w="10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Implement controls to lower likelihood/impact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Most critical/high risks</w:t>
            </w:r>
          </w:p>
        </w:tc>
      </w:tr>
      <w:tr>
        <w:trPr/>
        <w:tc>
          <w:tcPr>
            <w:tcW w:w="10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Retain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Accept risk within tolerance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risks or cost-prohibitive fixes</w:t>
            </w:r>
          </w:p>
        </w:tc>
      </w:tr>
      <w:tr>
        <w:trPr/>
        <w:tc>
          <w:tcPr>
            <w:tcW w:w="10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Avoid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Stop the activity causing risk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Unmanageable risks</w:t>
            </w:r>
          </w:p>
        </w:tc>
      </w:tr>
      <w:tr>
        <w:trPr/>
        <w:tc>
          <w:tcPr>
            <w:tcW w:w="100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Transfer</w:t>
            </w:r>
          </w:p>
        </w:tc>
        <w:tc>
          <w:tcPr>
            <w:tcW w:w="458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Share risk (e.g., insurance, contracts)</w:t>
            </w:r>
          </w:p>
        </w:tc>
        <w:tc>
          <w:tcPr>
            <w:tcW w:w="34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Financial or third-party risks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2. Risk Treatment Table</w:t>
      </w:r>
    </w:p>
    <w:tbl>
      <w:tblPr>
        <w:tblW w:w="997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23"/>
        <w:gridCol w:w="1667"/>
        <w:gridCol w:w="1011"/>
        <w:gridCol w:w="1281"/>
        <w:gridCol w:w="2061"/>
        <w:gridCol w:w="1370"/>
        <w:gridCol w:w="852"/>
        <w:gridCol w:w="1107"/>
      </w:tblGrid>
      <w:tr>
        <w:trPr>
          <w:tblHeader w:val="true"/>
        </w:trPr>
        <w:tc>
          <w:tcPr>
            <w:tcW w:w="623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Risk ID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Risk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Current Level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Treatment Strategy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Action Plan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Responsible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Target Date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Residual Risk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R1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Malware on Reception PCs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Critical (9)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Install &amp; update antivirus on A1, A2</w:t>
              <w:br/>
              <w:t>2. Enable automatic patch management</w:t>
              <w:br/>
              <w:t>3. Disable USB auto-run via GPO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IT Admin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Apr 30,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R2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Unauthorized access on Gaming PCs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Implement user login/restrictions</w:t>
              <w:br/>
              <w:t>2. Install Deep Freeze or reboot-to-restore</w:t>
              <w:br/>
              <w:t>3. Log customer usage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IT Admin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May 15,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R3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MITM on WiFi Network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Critical (9)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Enable WPA3 encryption</w:t>
              <w:br/>
              <w:t>2. Disable WPS &amp; weak protocols</w:t>
              <w:br/>
              <w:t>3. Implement guest isolation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Network Admin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Apr 25,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R4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SQL Injection on Web App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Critical (9)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 / Transfer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Add input validation &amp; parameterized queries</w:t>
              <w:br/>
              <w:t>2. Conduct code review</w:t>
              <w:br/>
              <w:t>3. Consider WAF (web app firewall)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Dev Lead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May 10,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R5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Customer DB data breach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Implement RBAC (role-based access)</w:t>
              <w:br/>
              <w:t>2. Encrypt DB at rest &amp; in transit</w:t>
              <w:br/>
              <w:t>3. Enable audit logging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IT Admin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May 20,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R6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Router/Firewall default credentials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Change default admin credentials</w:t>
              <w:br/>
              <w:t>2. Disable remote admin if not needed</w:t>
              <w:br/>
              <w:t>3. Implement strong password policy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Network Admin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Apr 18,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(1)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R7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Employee phishing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 / Retain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Annual security awareness training</w:t>
              <w:br/>
              <w:t>2. Simulated phishing campaigns</w:t>
              <w:br/>
              <w:t>3. Enable MFA for all systems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HR + IT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June 1,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Medium (4)</w:t>
            </w:r>
          </w:p>
        </w:tc>
      </w:tr>
      <w:tr>
        <w:trPr/>
        <w:tc>
          <w:tcPr>
            <w:tcW w:w="62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R8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POS data theft</w:t>
            </w:r>
          </w:p>
        </w:tc>
        <w:tc>
          <w:tcPr>
            <w:tcW w:w="101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128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Reduce / Transfer</w:t>
            </w:r>
          </w:p>
        </w:tc>
        <w:tc>
          <w:tcPr>
            <w:tcW w:w="206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1. Enable end-to-end encryption for payments</w:t>
              <w:br/>
              <w:t>2. Ensure PCI DSS compliance</w:t>
              <w:br/>
              <w:t>3. Use certified payment gateway</w:t>
            </w:r>
          </w:p>
        </w:tc>
        <w:tc>
          <w:tcPr>
            <w:tcW w:w="137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Ops Manager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May 25, 2026</w:t>
            </w:r>
          </w:p>
        </w:tc>
        <w:tc>
          <w:tcPr>
            <w:tcW w:w="110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(2)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3. Residual Risk Summary</w:t>
      </w:r>
    </w:p>
    <w:p>
      <w:pPr>
        <w:pStyle w:val="BodyText"/>
        <w:bidi w:val="0"/>
        <w:jc w:val="start"/>
        <w:rPr/>
      </w:pPr>
      <w:r>
        <w:rPr/>
        <w:t>After treatment, XYZ Limited will have:</w:t>
      </w:r>
    </w:p>
    <w:tbl>
      <w:tblPr>
        <w:tblW w:w="596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272"/>
        <w:gridCol w:w="2838"/>
        <w:gridCol w:w="1850"/>
      </w:tblGrid>
      <w:tr>
        <w:trPr>
          <w:tblHeader w:val="true"/>
        </w:trPr>
        <w:tc>
          <w:tcPr>
            <w:tcW w:w="1272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Risk Level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Before Treatment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After Treatment</w:t>
            </w:r>
          </w:p>
        </w:tc>
      </w:tr>
      <w:tr>
        <w:trPr/>
        <w:tc>
          <w:tcPr>
            <w:tcW w:w="127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Critical (9)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3 risks (R1, R3, R4)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0</w:t>
            </w:r>
          </w:p>
        </w:tc>
      </w:tr>
      <w:tr>
        <w:trPr/>
        <w:tc>
          <w:tcPr>
            <w:tcW w:w="127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High (6)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5 risks (R2, R5, R6, R7, R8)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0</w:t>
            </w:r>
          </w:p>
        </w:tc>
      </w:tr>
      <w:tr>
        <w:trPr/>
        <w:tc>
          <w:tcPr>
            <w:tcW w:w="127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Medium (4)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0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1 (R7 – Phishing)</w:t>
            </w:r>
          </w:p>
        </w:tc>
      </w:tr>
      <w:tr>
        <w:trPr/>
        <w:tc>
          <w:tcPr>
            <w:tcW w:w="1272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Low (1-3)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0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7</w:t>
            </w:r>
          </w:p>
        </w:tc>
      </w:tr>
    </w:tbl>
    <w:p>
      <w:pPr>
        <w:pStyle w:val="BodyText"/>
        <w:bidi w:val="0"/>
        <w:ind w:hanging="0" w:start="567" w:end="567"/>
        <w:jc w:val="start"/>
        <w:rPr/>
      </w:pPr>
      <w:r>
        <w:rPr>
          <w:rStyle w:val="Strong"/>
        </w:rPr>
        <w:t>Note:</w:t>
      </w:r>
      <w:r>
        <w:rPr/>
        <w:t xml:space="preserve"> Phishing (R7) retains a </w:t>
      </w:r>
      <w:r>
        <w:rPr>
          <w:rStyle w:val="Strong"/>
        </w:rPr>
        <w:t>Medium</w:t>
      </w:r>
      <w:r>
        <w:rPr/>
        <w:t xml:space="preserve"> residual risk because human error cannot be fully eliminated. XYZ Limited accepts this residual risk.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4. Risk Treatment Action Plan Timeline</w:t>
      </w:r>
    </w:p>
    <w:tbl>
      <w:tblPr>
        <w:tblW w:w="7783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219"/>
        <w:gridCol w:w="5564"/>
      </w:tblGrid>
      <w:tr>
        <w:trPr>
          <w:tblHeader w:val="true"/>
        </w:trPr>
        <w:tc>
          <w:tcPr>
            <w:tcW w:w="221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Week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Actions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1 (Apr 15–21)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Change router/firewall credentials (R6) → Quick win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2 (Apr 22–30)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WiFi encryption (R3) + Antivirus on reception PCs (R1)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3 (May 1–10)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SQL injection fix (R4)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4 (May 11–20)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Gaming PC restrictions (R2) + DB access control (R5)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5 (May 21–31)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POS encryption (R8)</w:t>
            </w:r>
          </w:p>
        </w:tc>
      </w:tr>
      <w:tr>
        <w:trPr/>
        <w:tc>
          <w:tcPr>
            <w:tcW w:w="22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</w:rPr>
              <w:t>Week 6 (Jun 1–7)</w:t>
            </w:r>
          </w:p>
        </w:tc>
        <w:tc>
          <w:tcPr>
            <w:tcW w:w="556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Phishing training (R7)</w:t>
            </w:r>
          </w:p>
        </w:tc>
      </w:tr>
    </w:tbl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5. Budget Estimate (High-Level)</w:t>
      </w:r>
    </w:p>
    <w:tbl>
      <w:tblPr>
        <w:tblW w:w="5817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101"/>
        <w:gridCol w:w="1716"/>
      </w:tblGrid>
      <w:tr>
        <w:trPr>
          <w:tblHeader w:val="true"/>
        </w:trPr>
        <w:tc>
          <w:tcPr>
            <w:tcW w:w="410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Item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Estimated Cost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Antivirus licenses (3 PCs)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$150/year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Deep Freeze (5 gaming PCs)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$200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WPA3-capable router (if needed)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$100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Web App Firewall (basic)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$50/month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Security awareness training (staff of ~10)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$300/year</w:t>
            </w:r>
          </w:p>
        </w:tc>
      </w:tr>
      <w:tr>
        <w:trPr/>
        <w:tc>
          <w:tcPr>
            <w:tcW w:w="410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PCI compliance consultation</w:t>
            </w:r>
          </w:p>
        </w:tc>
        <w:tc>
          <w:tcPr>
            <w:tcW w:w="171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$500 one-time</w:t>
            </w:r>
          </w:p>
        </w:tc>
      </w:tr>
    </w:tbl>
    <w:p>
      <w:pPr>
        <w:pStyle w:val="BodyText"/>
        <w:bidi w:val="0"/>
        <w:jc w:val="start"/>
        <w:rPr/>
      </w:pPr>
      <w:r>
        <w:rPr>
          <w:rStyle w:val="Strong"/>
        </w:rPr>
        <w:t>Total estimated first-year cost:</w:t>
      </w:r>
      <w:r>
        <w:rPr/>
        <w:t xml:space="preserve"> ~$1,500 – $2,000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6. Approval &amp; Review</w:t>
      </w:r>
    </w:p>
    <w:tbl>
      <w:tblPr>
        <w:tblW w:w="5100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86"/>
        <w:gridCol w:w="837"/>
        <w:gridCol w:w="1426"/>
        <w:gridCol w:w="751"/>
      </w:tblGrid>
      <w:tr>
        <w:trPr>
          <w:tblHeader w:val="true"/>
        </w:trPr>
        <w:tc>
          <w:tcPr>
            <w:tcW w:w="208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Role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Name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Signature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Date</w:t>
            </w:r>
          </w:p>
        </w:tc>
      </w:tr>
      <w:tr>
        <w:trPr/>
        <w:tc>
          <w:tcPr>
            <w:tcW w:w="208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IT Manager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[Name]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___________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</w:t>
            </w:r>
          </w:p>
        </w:tc>
      </w:tr>
      <w:tr>
        <w:trPr/>
        <w:tc>
          <w:tcPr>
            <w:tcW w:w="208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Operations Manager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[Name]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___________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</w:t>
            </w:r>
          </w:p>
        </w:tc>
      </w:tr>
      <w:tr>
        <w:trPr/>
        <w:tc>
          <w:tcPr>
            <w:tcW w:w="208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Business Owner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[Name]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___________</w:t>
            </w:r>
          </w:p>
        </w:tc>
        <w:tc>
          <w:tcPr>
            <w:tcW w:w="75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_____</w:t>
            </w:r>
          </w:p>
        </w:tc>
      </w:tr>
    </w:tbl>
    <w:p>
      <w:pPr>
        <w:pStyle w:val="BodyText"/>
        <w:bidi w:val="0"/>
        <w:jc w:val="start"/>
        <w:rPr/>
      </w:pPr>
      <w:r>
        <w:rPr>
          <w:rStyle w:val="Strong"/>
        </w:rPr>
        <w:t>Review Frequency:</w:t>
      </w:r>
      <w:r>
        <w:rPr/>
        <w:t xml:space="preserve"> Quarterly</w:t>
        <w:br/>
      </w:r>
      <w:r>
        <w:rPr>
          <w:rStyle w:val="Strong"/>
        </w:rPr>
        <w:t>Next Review Date:</w:t>
      </w:r>
      <w:r>
        <w:rPr/>
        <w:t xml:space="preserve"> July 4, 2026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LibreOffice/26.2.0.3$Windows_X86_64 LibreOffice_project/620$Build-3</Application>
  <AppVersion>15.0000</AppVersion>
  <Pages>3</Pages>
  <Words>553</Words>
  <Characters>2830</Characters>
  <CharactersWithSpaces>3219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2026-04-04T13:01:09Z</dcterms:created>
  <dc:creator/>
  <dc:description/>
  <dc:language>en-CA</dc:language>
  <cp:lastModifiedBy/>
  <dcterms:modified xsi:type="dcterms:W3CDTF">2026-04-04T13:01:33Z</dcterms:modified>
  <cp:revision>1</cp:revision>
  <dc:subject/>
  <dc:title/>
</cp:coreProperties>
</file>